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8306"/>
      </w:tblGrid>
      <w:tr w:rsidR="008B201D" w:rsidRPr="008B201D">
        <w:trPr>
          <w:trHeight w:val="825"/>
        </w:trPr>
        <w:tc>
          <w:tcPr>
            <w:tcW w:w="0" w:type="auto"/>
            <w:hideMark/>
          </w:tcPr>
          <w:p w:rsidR="008B201D" w:rsidRPr="008B201D" w:rsidRDefault="008B201D" w:rsidP="008B201D">
            <w:pPr>
              <w:pStyle w:val="a5"/>
              <w:ind w:leftChars="100" w:left="210" w:firstLineChars="500" w:firstLine="1807"/>
              <w:jc w:val="left"/>
              <w:rPr>
                <w:rFonts w:ascii="仿宋_GB2312" w:eastAsia="仿宋_GB2312" w:hint="eastAsia"/>
                <w:b/>
                <w:kern w:val="0"/>
                <w:sz w:val="36"/>
                <w:szCs w:val="36"/>
              </w:rPr>
            </w:pPr>
            <w:r w:rsidRPr="008B201D">
              <w:rPr>
                <w:rFonts w:ascii="仿宋_GB2312" w:eastAsia="仿宋_GB2312" w:hint="eastAsia"/>
                <w:b/>
                <w:kern w:val="0"/>
                <w:sz w:val="36"/>
                <w:szCs w:val="36"/>
              </w:rPr>
              <w:t>山东省住房和城乡建设厅</w:t>
            </w:r>
            <w:r w:rsidRPr="008B201D">
              <w:rPr>
                <w:rFonts w:ascii="仿宋_GB2312" w:eastAsia="仿宋_GB2312" w:hint="eastAsia"/>
                <w:b/>
                <w:kern w:val="0"/>
                <w:sz w:val="36"/>
                <w:szCs w:val="36"/>
              </w:rPr>
              <w:br/>
              <w:t>关于加强工程建设人工材料价格风险控制的意见</w:t>
            </w:r>
          </w:p>
        </w:tc>
      </w:tr>
      <w:tr w:rsidR="008B201D" w:rsidRPr="008B201D">
        <w:tc>
          <w:tcPr>
            <w:tcW w:w="0" w:type="auto"/>
            <w:vAlign w:val="center"/>
            <w:hideMark/>
          </w:tcPr>
          <w:tbl>
            <w:tblPr>
              <w:tblW w:w="5000" w:type="pct"/>
              <w:jc w:val="center"/>
              <w:shd w:val="clear" w:color="auto" w:fill="FBFBFB"/>
              <w:tblCellMar>
                <w:top w:w="15" w:type="dxa"/>
                <w:left w:w="15" w:type="dxa"/>
                <w:bottom w:w="15" w:type="dxa"/>
                <w:right w:w="15" w:type="dxa"/>
              </w:tblCellMar>
              <w:tblLook w:val="04A0"/>
            </w:tblPr>
            <w:tblGrid>
              <w:gridCol w:w="2076"/>
              <w:gridCol w:w="2076"/>
              <w:gridCol w:w="2077"/>
              <w:gridCol w:w="2077"/>
            </w:tblGrid>
            <w:tr w:rsidR="008B201D" w:rsidRPr="008B201D">
              <w:trPr>
                <w:jc w:val="center"/>
              </w:trPr>
              <w:tc>
                <w:tcPr>
                  <w:tcW w:w="0" w:type="auto"/>
                  <w:shd w:val="clear" w:color="auto" w:fill="FBFBFB"/>
                  <w:vAlign w:val="center"/>
                  <w:hideMark/>
                </w:tcPr>
                <w:p w:rsidR="008B201D" w:rsidRPr="008B201D" w:rsidRDefault="008B201D" w:rsidP="008B201D">
                  <w:pPr>
                    <w:pStyle w:val="a5"/>
                    <w:jc w:val="left"/>
                    <w:rPr>
                      <w:kern w:val="0"/>
                    </w:rPr>
                  </w:pPr>
                </w:p>
              </w:tc>
              <w:tc>
                <w:tcPr>
                  <w:tcW w:w="0" w:type="auto"/>
                  <w:shd w:val="clear" w:color="auto" w:fill="FBFBFB"/>
                  <w:vAlign w:val="center"/>
                  <w:hideMark/>
                </w:tcPr>
                <w:p w:rsidR="008B201D" w:rsidRPr="008B201D" w:rsidRDefault="008B201D" w:rsidP="008B201D">
                  <w:pPr>
                    <w:pStyle w:val="a5"/>
                    <w:jc w:val="left"/>
                    <w:rPr>
                      <w:kern w:val="0"/>
                      <w:sz w:val="18"/>
                      <w:szCs w:val="18"/>
                    </w:rPr>
                  </w:pPr>
                </w:p>
              </w:tc>
              <w:tc>
                <w:tcPr>
                  <w:tcW w:w="0" w:type="auto"/>
                  <w:shd w:val="clear" w:color="auto" w:fill="FBFBFB"/>
                  <w:vAlign w:val="center"/>
                  <w:hideMark/>
                </w:tcPr>
                <w:p w:rsidR="008B201D" w:rsidRPr="008B201D" w:rsidRDefault="008B201D" w:rsidP="008B201D">
                  <w:pPr>
                    <w:pStyle w:val="a5"/>
                    <w:jc w:val="left"/>
                    <w:rPr>
                      <w:kern w:val="0"/>
                      <w:sz w:val="18"/>
                      <w:szCs w:val="18"/>
                    </w:rPr>
                  </w:pPr>
                </w:p>
              </w:tc>
              <w:tc>
                <w:tcPr>
                  <w:tcW w:w="0" w:type="auto"/>
                  <w:shd w:val="clear" w:color="auto" w:fill="FBFBFB"/>
                  <w:vAlign w:val="center"/>
                  <w:hideMark/>
                </w:tcPr>
                <w:p w:rsidR="008B201D" w:rsidRPr="008B201D" w:rsidRDefault="008B201D" w:rsidP="008B201D">
                  <w:pPr>
                    <w:pStyle w:val="a5"/>
                    <w:jc w:val="left"/>
                    <w:rPr>
                      <w:kern w:val="0"/>
                      <w:sz w:val="18"/>
                      <w:szCs w:val="18"/>
                    </w:rPr>
                  </w:pPr>
                </w:p>
              </w:tc>
            </w:tr>
          </w:tbl>
          <w:p w:rsidR="008B201D" w:rsidRPr="008B201D" w:rsidRDefault="008B201D" w:rsidP="008B201D">
            <w:pPr>
              <w:pStyle w:val="a5"/>
              <w:jc w:val="left"/>
              <w:rPr>
                <w:kern w:val="0"/>
                <w:sz w:val="18"/>
                <w:szCs w:val="18"/>
              </w:rPr>
            </w:pPr>
          </w:p>
        </w:tc>
      </w:tr>
      <w:tr w:rsidR="008B201D" w:rsidRPr="008B201D">
        <w:trPr>
          <w:trHeight w:val="4200"/>
        </w:trPr>
        <w:tc>
          <w:tcPr>
            <w:tcW w:w="0" w:type="auto"/>
            <w:hideMark/>
          </w:tcPr>
          <w:p w:rsidR="008B201D" w:rsidRPr="008B201D" w:rsidRDefault="008B201D" w:rsidP="008B201D">
            <w:pPr>
              <w:pStyle w:val="a5"/>
              <w:ind w:firstLineChars="800" w:firstLine="240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鲁建标字〔2019〕21号</w:t>
            </w:r>
          </w:p>
          <w:p w:rsidR="008B201D" w:rsidRPr="008B201D" w:rsidRDefault="008B201D" w:rsidP="008B201D">
            <w:pPr>
              <w:pStyle w:val="a5"/>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各市住房城乡建设局：</w:t>
            </w:r>
          </w:p>
          <w:p w:rsidR="008B201D" w:rsidRPr="008B201D" w:rsidRDefault="008B201D" w:rsidP="008B201D">
            <w:pPr>
              <w:pStyle w:val="a5"/>
              <w:ind w:firstLineChars="200" w:firstLine="60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为贯彻落实《山东省人民政府办公厅关于进一步促进建筑业改革发展的十六条意见》（鲁政办字〔2019〕53号），增强建设市场各方主体的风险意识和履约能力，规范施工合同的签订，保障发承包双方合法权益，合理处置和减少因物价变化引起的价款调整纠纷，维护建筑市场稳定秩序，根据有关法律、法规、规范及《住房城乡建设部关于加强和改善工程造价监管的意见》（建标〔2017〕209号）等文件精神，结合我省实际，提出以下意见：</w:t>
            </w:r>
          </w:p>
          <w:p w:rsidR="008B201D" w:rsidRPr="008B201D" w:rsidRDefault="008B201D" w:rsidP="008B201D">
            <w:pPr>
              <w:pStyle w:val="a5"/>
              <w:ind w:firstLineChars="200" w:firstLine="60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一、工程造价计价中应当遵循风险共担和合理分摊原则，体现交易的公平性。</w:t>
            </w:r>
          </w:p>
          <w:p w:rsidR="008B201D" w:rsidRPr="008B201D" w:rsidRDefault="008B201D" w:rsidP="008B201D">
            <w:pPr>
              <w:pStyle w:val="a5"/>
              <w:ind w:firstLineChars="200" w:firstLine="60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二、引导建设工程发承包双方完善施工合同管理，强化合同意识和诚信履约意识，增强风险防范自觉性，在招标文件、施工合同中合理设置计价风险条款，约定风险内容、范围及超出范围后的调整办法，承包人应有限度承担物价变化等市场风险。按照《建设工程工程量清单计价规范》（GB50500-2013）有关强制性条文的规定，不得采用无限风险、所有风险或不调整等类似语句规定计价风险内容及范围。</w:t>
            </w:r>
          </w:p>
          <w:p w:rsidR="008B201D" w:rsidRPr="008B201D" w:rsidRDefault="008B201D" w:rsidP="008B201D">
            <w:pPr>
              <w:pStyle w:val="a5"/>
              <w:ind w:firstLineChars="200" w:firstLine="60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三、人工价格变化时的合同价款调整</w:t>
            </w:r>
          </w:p>
          <w:p w:rsidR="008B201D" w:rsidRPr="008B201D" w:rsidRDefault="008B201D" w:rsidP="008B201D">
            <w:pPr>
              <w:pStyle w:val="a5"/>
              <w:ind w:firstLineChars="150" w:firstLine="45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（一）合同对人工费调整有具体约定的，按照合同执行。</w:t>
            </w:r>
          </w:p>
          <w:p w:rsidR="008B201D" w:rsidRPr="008B201D" w:rsidRDefault="008B201D" w:rsidP="008B201D">
            <w:pPr>
              <w:pStyle w:val="a5"/>
              <w:ind w:firstLineChars="150" w:firstLine="45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lastRenderedPageBreak/>
              <w:t>（二）合同对人工费调整没有约定或约定不具体的，发承包双方按照以下原则协商调整工程造价：</w:t>
            </w:r>
          </w:p>
          <w:p w:rsidR="008B201D" w:rsidRPr="008B201D" w:rsidRDefault="008B201D" w:rsidP="008B201D">
            <w:pPr>
              <w:pStyle w:val="a5"/>
              <w:ind w:firstLineChars="200" w:firstLine="60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1.设区市建设主管部门发布市定额人工市场指导单价的：</w:t>
            </w:r>
          </w:p>
          <w:p w:rsidR="008B201D" w:rsidRPr="008B201D" w:rsidRDefault="008B201D" w:rsidP="008B201D">
            <w:pPr>
              <w:pStyle w:val="a5"/>
              <w:ind w:firstLineChars="150" w:firstLine="45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1）市建设主管部门调增市定额人工指导单价时，自调整生效之日起完成的工程量，根据市定额人工指导单价的调增幅度（百分比），调增工程价款的人工费，但合同约定的定额人工单价高于调增后的市定额人工指导单价的除外。</w:t>
            </w:r>
          </w:p>
          <w:p w:rsidR="008B201D" w:rsidRPr="008B201D" w:rsidRDefault="008B201D" w:rsidP="008B201D">
            <w:pPr>
              <w:pStyle w:val="a5"/>
              <w:ind w:firstLineChars="150" w:firstLine="45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2）市建设主管部门调减市定额人工指导单价时，自调整生效之日起完成的工程量，根据市定额人工指导单价的调减幅度（百分比），调减工程价款的人工费，但合同约定的定额人工单价低于调减后的市定额人工指导单价的除外。</w:t>
            </w:r>
          </w:p>
          <w:p w:rsidR="008B201D" w:rsidRPr="008B201D" w:rsidRDefault="008B201D" w:rsidP="008B201D">
            <w:pPr>
              <w:pStyle w:val="a5"/>
              <w:ind w:firstLineChars="200" w:firstLine="60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2.设区市建设主管部门未发布市定额人工市场指导单价的，根据省定额人工单价的调整幅度（百分比），按照上条原则调整工程价款的人工费。</w:t>
            </w:r>
          </w:p>
          <w:p w:rsidR="008B201D" w:rsidRPr="008B201D" w:rsidRDefault="008B201D" w:rsidP="008B201D">
            <w:pPr>
              <w:pStyle w:val="a5"/>
              <w:ind w:firstLineChars="150" w:firstLine="45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（三）省建设主管部门调整省定额人工单价时，自调整生效之日起完成的工程量，各项以省价人工费（或省价人机费）为基础计取的费用同时进行调整。</w:t>
            </w:r>
          </w:p>
          <w:p w:rsidR="008B201D" w:rsidRPr="008B201D" w:rsidRDefault="008B201D" w:rsidP="008B201D">
            <w:pPr>
              <w:pStyle w:val="a5"/>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四、材料价格变化时的合同价款调整</w:t>
            </w:r>
          </w:p>
          <w:p w:rsidR="008B201D" w:rsidRPr="008B201D" w:rsidRDefault="008B201D" w:rsidP="008B201D">
            <w:pPr>
              <w:pStyle w:val="a5"/>
              <w:ind w:firstLineChars="150" w:firstLine="45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（一）合同对材料价格风险范围和调整办法有具体约定的，按照合同执行。</w:t>
            </w:r>
          </w:p>
          <w:p w:rsidR="008B201D" w:rsidRPr="008B201D" w:rsidRDefault="008B201D" w:rsidP="008B201D">
            <w:pPr>
              <w:pStyle w:val="a5"/>
              <w:ind w:firstLineChars="150" w:firstLine="45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（二）合同未对材料价格风险进行约定或约定不具体的，发承包双方按照以下原则协商调整工程造价：</w:t>
            </w:r>
          </w:p>
          <w:p w:rsidR="008B201D" w:rsidRPr="008B201D" w:rsidRDefault="008B201D" w:rsidP="008B201D">
            <w:pPr>
              <w:pStyle w:val="a5"/>
              <w:ind w:firstLineChars="200" w:firstLine="60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lastRenderedPageBreak/>
              <w:t>1.调整的范围限定于主要材料。主要材料是指用量较大、占工程造价比例较高的材料，包括的范围以合同约定为准。当合同未对主要材料范围进行明确约定时，则一般应包括如下内容：</w:t>
            </w:r>
          </w:p>
          <w:p w:rsidR="008B201D" w:rsidRPr="008B201D" w:rsidRDefault="008B201D" w:rsidP="008B201D">
            <w:pPr>
              <w:pStyle w:val="a5"/>
              <w:ind w:firstLineChars="150" w:firstLine="45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1）金属材料、木材、水泥、混凝土、沥青混凝土、预制构件、砂浆、砖、瓦、砂子、碎石、石灰、石材、防水材料、防腐材料、玻璃、保温材料、门窗、面砖、管材、管件、阀门、电线电缆、灯具、卫生洁具、散热器、苗木、花卉等。</w:t>
            </w:r>
          </w:p>
          <w:p w:rsidR="008B201D" w:rsidRPr="008B201D" w:rsidRDefault="008B201D" w:rsidP="008B201D">
            <w:pPr>
              <w:pStyle w:val="a5"/>
              <w:ind w:firstLineChars="150" w:firstLine="45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（2）合同价中单种材料合价占单位工程造价比例在1%及以上的材料。</w:t>
            </w:r>
          </w:p>
          <w:p w:rsidR="008B201D" w:rsidRPr="008B201D" w:rsidRDefault="008B201D" w:rsidP="008B201D">
            <w:pPr>
              <w:pStyle w:val="a5"/>
              <w:ind w:firstLineChars="150" w:firstLine="45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（3）设区市工程造价管理机构规定的其他主要材料种类。</w:t>
            </w:r>
          </w:p>
          <w:p w:rsidR="008B201D" w:rsidRPr="008B201D" w:rsidRDefault="008B201D" w:rsidP="008B201D">
            <w:pPr>
              <w:pStyle w:val="a5"/>
              <w:ind w:firstLineChars="200" w:firstLine="60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2.主要材料价格发生波动时，波动幅度在±5%以内（含5%）的，材料价差不进行调整；波动幅度超出±5%的，按照超出部分调整材料价差。</w:t>
            </w:r>
          </w:p>
          <w:p w:rsidR="008B201D" w:rsidRPr="008B201D" w:rsidRDefault="008B201D" w:rsidP="008B201D">
            <w:pPr>
              <w:pStyle w:val="a5"/>
              <w:ind w:firstLineChars="200" w:firstLine="60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3.材料价差的调整办法参照《建设工程工程量清单计价规范》（GB50500-2013）附录“A.2 造价信息调整价格差额”和《建设工程施工合同（示范文本）》（GF-2017-0201）通用合同条款“11.1市场价格波动引起的调整”中“第2种方式：采用造价信息进行价格调整”的有关规定进行。</w:t>
            </w:r>
          </w:p>
          <w:p w:rsidR="008B201D" w:rsidRPr="008B201D" w:rsidRDefault="008B201D" w:rsidP="008B201D">
            <w:pPr>
              <w:pStyle w:val="a5"/>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材料价格涨跌幅度等具体计算方法由设区市工程造价管理机构确定。</w:t>
            </w:r>
          </w:p>
          <w:p w:rsidR="008B201D" w:rsidRPr="008B201D" w:rsidRDefault="008B201D" w:rsidP="008B201D">
            <w:pPr>
              <w:pStyle w:val="a5"/>
              <w:ind w:firstLineChars="200" w:firstLine="60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五、合同未对工期延误期间物价变化价款调整办法进行约定或约定不具体的，发承包双方按照以下原则协商调整工程造价：</w:t>
            </w:r>
          </w:p>
          <w:p w:rsidR="008B201D" w:rsidRPr="008B201D" w:rsidRDefault="008B201D" w:rsidP="008B201D">
            <w:pPr>
              <w:pStyle w:val="a5"/>
              <w:ind w:firstLineChars="200" w:firstLine="60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lastRenderedPageBreak/>
              <w:t>1.因非承包人原因造成工期延误，延误期间发生人工、材料价格上涨时，按照上涨价格调整合同价款；下跌时，不调整合同价款。</w:t>
            </w:r>
          </w:p>
          <w:p w:rsidR="008B201D" w:rsidRPr="008B201D" w:rsidRDefault="008B201D" w:rsidP="008B201D">
            <w:pPr>
              <w:pStyle w:val="a5"/>
              <w:ind w:firstLineChars="200" w:firstLine="60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2.因承包人原因造成工期延误，延误期间发生人工、材料价格下跌时，按照下跌价格调整合同价款；上涨时，不调整合同价款。</w:t>
            </w:r>
          </w:p>
          <w:p w:rsidR="008B201D" w:rsidRPr="008B201D" w:rsidRDefault="008B201D" w:rsidP="008B201D">
            <w:pPr>
              <w:pStyle w:val="a5"/>
              <w:ind w:firstLineChars="200" w:firstLine="60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六、合同中已经采用无限风险、所有风险或不调整等类似语句对计价风险进行约定，但在施工过程发生了合同签订时双方不能合理预见的外部因素，物价产生大幅波动，继续履约对合同一方存在明显困难时，为保证建设项目顺利实施，发承包双方可参照本意见前述规定协商调整工程造价。</w:t>
            </w:r>
          </w:p>
          <w:p w:rsidR="008B201D" w:rsidRPr="008B201D" w:rsidRDefault="008B201D" w:rsidP="008B201D">
            <w:pPr>
              <w:pStyle w:val="a5"/>
              <w:ind w:firstLineChars="200" w:firstLine="60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七、各市要在本意见的基础上进一步细化管理措施，建立健全价款调整争议调解机制。密切跟踪市场，及时发布定额人工市场指导单价和材料信息价格。当工程建设材料价格变化幅度较大时，及时发布预警信息，加大动态管理力度，引导建设市场各方主体合理确定和有效控制工程造价。</w:t>
            </w:r>
          </w:p>
          <w:p w:rsidR="008B201D" w:rsidRPr="008B201D" w:rsidRDefault="008B201D" w:rsidP="008B201D">
            <w:pPr>
              <w:pStyle w:val="a5"/>
              <w:ind w:firstLineChars="200" w:firstLine="60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八、之前文件规定与本意见不一致的，以本意见为准。</w:t>
            </w:r>
          </w:p>
          <w:p w:rsidR="008B201D" w:rsidRDefault="008B201D" w:rsidP="008B201D">
            <w:pPr>
              <w:pStyle w:val="a5"/>
              <w:jc w:val="left"/>
              <w:rPr>
                <w:rFonts w:ascii="仿宋_GB2312" w:eastAsia="仿宋_GB2312" w:hint="eastAsia"/>
                <w:color w:val="000000"/>
                <w:kern w:val="0"/>
                <w:sz w:val="30"/>
                <w:szCs w:val="30"/>
              </w:rPr>
            </w:pPr>
          </w:p>
          <w:p w:rsidR="008B201D" w:rsidRDefault="008B201D" w:rsidP="008B201D">
            <w:pPr>
              <w:pStyle w:val="a5"/>
              <w:ind w:firstLineChars="300" w:firstLine="900"/>
              <w:jc w:val="left"/>
              <w:rPr>
                <w:rFonts w:ascii="仿宋_GB2312" w:eastAsia="仿宋_GB2312" w:hint="eastAsia"/>
                <w:color w:val="000000"/>
                <w:kern w:val="0"/>
                <w:sz w:val="30"/>
                <w:szCs w:val="30"/>
              </w:rPr>
            </w:pPr>
          </w:p>
          <w:p w:rsidR="008B201D" w:rsidRPr="008B201D" w:rsidRDefault="008B201D" w:rsidP="008B201D">
            <w:pPr>
              <w:pStyle w:val="a5"/>
              <w:ind w:firstLineChars="600" w:firstLine="180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山东省住房和城乡建设厅</w:t>
            </w:r>
          </w:p>
          <w:p w:rsidR="008B201D" w:rsidRPr="008B201D" w:rsidRDefault="008B201D" w:rsidP="008075C1">
            <w:pPr>
              <w:pStyle w:val="a5"/>
              <w:ind w:firstLineChars="750" w:firstLine="2250"/>
              <w:jc w:val="left"/>
              <w:rPr>
                <w:rFonts w:ascii="仿宋_GB2312" w:eastAsia="仿宋_GB2312" w:hint="eastAsia"/>
                <w:color w:val="000000"/>
                <w:kern w:val="0"/>
                <w:sz w:val="30"/>
                <w:szCs w:val="30"/>
              </w:rPr>
            </w:pPr>
            <w:r w:rsidRPr="008B201D">
              <w:rPr>
                <w:rFonts w:ascii="仿宋_GB2312" w:eastAsia="仿宋_GB2312" w:hint="eastAsia"/>
                <w:color w:val="000000"/>
                <w:kern w:val="0"/>
                <w:sz w:val="30"/>
                <w:szCs w:val="30"/>
              </w:rPr>
              <w:t>2019年9月16日</w:t>
            </w:r>
          </w:p>
        </w:tc>
      </w:tr>
    </w:tbl>
    <w:p w:rsidR="003E0760" w:rsidRPr="008B201D" w:rsidRDefault="003E0760" w:rsidP="008B201D">
      <w:pPr>
        <w:pStyle w:val="a5"/>
        <w:rPr>
          <w:rFonts w:ascii="仿宋_GB2312" w:eastAsia="仿宋_GB2312" w:hint="eastAsia"/>
          <w:sz w:val="30"/>
          <w:szCs w:val="30"/>
        </w:rPr>
      </w:pPr>
    </w:p>
    <w:sectPr w:rsidR="003E0760" w:rsidRPr="008B201D" w:rsidSect="003E07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29D" w:rsidRDefault="00D0529D" w:rsidP="008B201D">
      <w:r>
        <w:separator/>
      </w:r>
    </w:p>
  </w:endnote>
  <w:endnote w:type="continuationSeparator" w:id="0">
    <w:p w:rsidR="00D0529D" w:rsidRDefault="00D0529D" w:rsidP="008B20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29D" w:rsidRDefault="00D0529D" w:rsidP="008B201D">
      <w:r>
        <w:separator/>
      </w:r>
    </w:p>
  </w:footnote>
  <w:footnote w:type="continuationSeparator" w:id="0">
    <w:p w:rsidR="00D0529D" w:rsidRDefault="00D0529D" w:rsidP="008B20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201D"/>
    <w:rsid w:val="003E0760"/>
    <w:rsid w:val="008075C1"/>
    <w:rsid w:val="008B201D"/>
    <w:rsid w:val="00D052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7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201D"/>
    <w:rPr>
      <w:rFonts w:ascii="宋体" w:eastAsia="宋体" w:hAnsi="宋体" w:hint="eastAsia"/>
      <w:strike w:val="0"/>
      <w:dstrike w:val="0"/>
      <w:color w:val="3D3D3D"/>
      <w:u w:val="none"/>
      <w:effect w:val="none"/>
    </w:rPr>
  </w:style>
  <w:style w:type="paragraph" w:styleId="a4">
    <w:name w:val="Normal (Web)"/>
    <w:basedOn w:val="a"/>
    <w:uiPriority w:val="99"/>
    <w:unhideWhenUsed/>
    <w:rsid w:val="008B201D"/>
    <w:pPr>
      <w:widowControl/>
      <w:spacing w:before="150" w:after="150" w:line="480" w:lineRule="auto"/>
      <w:jc w:val="left"/>
    </w:pPr>
    <w:rPr>
      <w:rFonts w:ascii="宋体" w:eastAsia="宋体" w:hAnsi="宋体" w:cs="宋体"/>
      <w:color w:val="000000"/>
      <w:kern w:val="0"/>
      <w:sz w:val="24"/>
      <w:szCs w:val="24"/>
    </w:rPr>
  </w:style>
  <w:style w:type="paragraph" w:styleId="a5">
    <w:name w:val="No Spacing"/>
    <w:uiPriority w:val="1"/>
    <w:qFormat/>
    <w:rsid w:val="008B201D"/>
    <w:pPr>
      <w:widowControl w:val="0"/>
      <w:jc w:val="both"/>
    </w:pPr>
  </w:style>
  <w:style w:type="paragraph" w:styleId="a6">
    <w:name w:val="header"/>
    <w:basedOn w:val="a"/>
    <w:link w:val="Char"/>
    <w:uiPriority w:val="99"/>
    <w:semiHidden/>
    <w:unhideWhenUsed/>
    <w:rsid w:val="008B20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8B201D"/>
    <w:rPr>
      <w:sz w:val="18"/>
      <w:szCs w:val="18"/>
    </w:rPr>
  </w:style>
  <w:style w:type="paragraph" w:styleId="a7">
    <w:name w:val="footer"/>
    <w:basedOn w:val="a"/>
    <w:link w:val="Char0"/>
    <w:uiPriority w:val="99"/>
    <w:unhideWhenUsed/>
    <w:rsid w:val="008B201D"/>
    <w:pPr>
      <w:tabs>
        <w:tab w:val="center" w:pos="4153"/>
        <w:tab w:val="right" w:pos="8306"/>
      </w:tabs>
      <w:snapToGrid w:val="0"/>
      <w:jc w:val="left"/>
    </w:pPr>
    <w:rPr>
      <w:sz w:val="18"/>
      <w:szCs w:val="18"/>
    </w:rPr>
  </w:style>
  <w:style w:type="character" w:customStyle="1" w:styleId="Char0">
    <w:name w:val="页脚 Char"/>
    <w:basedOn w:val="a0"/>
    <w:link w:val="a7"/>
    <w:uiPriority w:val="99"/>
    <w:rsid w:val="008B201D"/>
    <w:rPr>
      <w:sz w:val="18"/>
      <w:szCs w:val="18"/>
    </w:rPr>
  </w:style>
</w:styles>
</file>

<file path=word/webSettings.xml><?xml version="1.0" encoding="utf-8"?>
<w:webSettings xmlns:r="http://schemas.openxmlformats.org/officeDocument/2006/relationships" xmlns:w="http://schemas.openxmlformats.org/wordprocessingml/2006/main">
  <w:divs>
    <w:div w:id="136461524">
      <w:bodyDiv w:val="1"/>
      <w:marLeft w:val="0"/>
      <w:marRight w:val="0"/>
      <w:marTop w:val="0"/>
      <w:marBottom w:val="0"/>
      <w:divBdr>
        <w:top w:val="none" w:sz="0" w:space="0" w:color="auto"/>
        <w:left w:val="none" w:sz="0" w:space="0" w:color="auto"/>
        <w:bottom w:val="none" w:sz="0" w:space="0" w:color="auto"/>
        <w:right w:val="none" w:sz="0" w:space="0" w:color="auto"/>
      </w:divBdr>
      <w:divsChild>
        <w:div w:id="2080249664">
          <w:marLeft w:val="0"/>
          <w:marRight w:val="0"/>
          <w:marTop w:val="0"/>
          <w:marBottom w:val="0"/>
          <w:divBdr>
            <w:top w:val="none" w:sz="0" w:space="0" w:color="auto"/>
            <w:left w:val="none" w:sz="0" w:space="0" w:color="auto"/>
            <w:bottom w:val="none" w:sz="0" w:space="0" w:color="auto"/>
            <w:right w:val="none" w:sz="0" w:space="0" w:color="auto"/>
          </w:divBdr>
          <w:divsChild>
            <w:div w:id="8655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C92A7-C8ED-4E70-8A91-2AED5A85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299</Words>
  <Characters>1709</Characters>
  <Application>Microsoft Office Word</Application>
  <DocSecurity>0</DocSecurity>
  <Lines>14</Lines>
  <Paragraphs>4</Paragraphs>
  <ScaleCrop>false</ScaleCrop>
  <Company>微软中国</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2019-09-19T07:24:00Z</cp:lastPrinted>
  <dcterms:created xsi:type="dcterms:W3CDTF">2019-09-19T07:12:00Z</dcterms:created>
  <dcterms:modified xsi:type="dcterms:W3CDTF">2019-09-19T07:25:00Z</dcterms:modified>
</cp:coreProperties>
</file>