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85" w:type="pct"/>
        <w:tblInd w:w="-142" w:type="dxa"/>
        <w:tblCellMar>
          <w:left w:w="0" w:type="dxa"/>
          <w:right w:w="0" w:type="dxa"/>
        </w:tblCellMar>
        <w:tblLook w:val="04A0"/>
      </w:tblPr>
      <w:tblGrid>
        <w:gridCol w:w="8447"/>
      </w:tblGrid>
      <w:tr w:rsidR="00CC6EA2" w:rsidRPr="00CC6EA2" w:rsidTr="00CC6EA2">
        <w:trPr>
          <w:trHeight w:val="825"/>
        </w:trPr>
        <w:tc>
          <w:tcPr>
            <w:tcW w:w="5000" w:type="pct"/>
            <w:hideMark/>
          </w:tcPr>
          <w:p w:rsidR="00CC6EA2" w:rsidRPr="00CC6EA2" w:rsidRDefault="00CC6EA2" w:rsidP="00CC6EA2">
            <w:pPr>
              <w:pStyle w:val="a5"/>
              <w:jc w:val="center"/>
              <w:rPr>
                <w:rFonts w:ascii="仿宋_GB2312" w:eastAsia="仿宋_GB2312" w:hint="eastAsia"/>
                <w:b/>
                <w:kern w:val="0"/>
                <w:sz w:val="36"/>
                <w:szCs w:val="36"/>
              </w:rPr>
            </w:pPr>
            <w:r w:rsidRPr="00CC6EA2">
              <w:rPr>
                <w:rFonts w:ascii="仿宋_GB2312" w:eastAsia="仿宋_GB2312" w:hint="eastAsia"/>
                <w:b/>
                <w:kern w:val="0"/>
                <w:sz w:val="36"/>
                <w:szCs w:val="36"/>
              </w:rPr>
              <w:t>山东省住房和城乡建设厅</w:t>
            </w:r>
            <w:r w:rsidRPr="00CC6EA2">
              <w:rPr>
                <w:rFonts w:ascii="仿宋_GB2312" w:eastAsia="仿宋_GB2312" w:hint="eastAsia"/>
                <w:b/>
                <w:kern w:val="0"/>
                <w:sz w:val="36"/>
                <w:szCs w:val="36"/>
              </w:rPr>
              <w:br/>
              <w:t>关于调整建设工程规费项目组成的通知</w:t>
            </w:r>
          </w:p>
        </w:tc>
      </w:tr>
      <w:tr w:rsidR="00CC6EA2" w:rsidRPr="00CC6EA2" w:rsidTr="00CC6EA2">
        <w:tc>
          <w:tcPr>
            <w:tcW w:w="5000" w:type="pct"/>
            <w:vAlign w:val="center"/>
            <w:hideMark/>
          </w:tcPr>
          <w:p w:rsidR="00CC6EA2" w:rsidRPr="00CC6EA2" w:rsidRDefault="00CC6EA2" w:rsidP="00CC6EA2">
            <w:pPr>
              <w:pStyle w:val="a5"/>
              <w:rPr>
                <w:kern w:val="0"/>
                <w:sz w:val="18"/>
                <w:szCs w:val="18"/>
              </w:rPr>
            </w:pPr>
          </w:p>
        </w:tc>
      </w:tr>
      <w:tr w:rsidR="00CC6EA2" w:rsidRPr="00CC6EA2" w:rsidTr="00CC6EA2">
        <w:trPr>
          <w:trHeight w:val="4200"/>
        </w:trPr>
        <w:tc>
          <w:tcPr>
            <w:tcW w:w="5000" w:type="pct"/>
            <w:hideMark/>
          </w:tcPr>
          <w:p w:rsidR="00CC6EA2" w:rsidRPr="00CC6EA2" w:rsidRDefault="00CC6EA2" w:rsidP="00CC6EA2">
            <w:pPr>
              <w:pStyle w:val="a5"/>
              <w:ind w:firstLineChars="700" w:firstLine="2100"/>
              <w:rPr>
                <w:rFonts w:ascii="仿宋_GB2312" w:eastAsia="仿宋_GB2312" w:hint="eastAsia"/>
                <w:color w:val="000000"/>
                <w:kern w:val="0"/>
                <w:sz w:val="30"/>
                <w:szCs w:val="30"/>
              </w:rPr>
            </w:pPr>
            <w:r w:rsidRPr="00CC6EA2">
              <w:rPr>
                <w:rFonts w:ascii="仿宋_GB2312" w:eastAsia="仿宋_GB2312" w:hint="eastAsia"/>
                <w:color w:val="000000"/>
                <w:kern w:val="0"/>
                <w:sz w:val="30"/>
                <w:szCs w:val="30"/>
              </w:rPr>
              <w:t>鲁建标字〔2019〕22号</w:t>
            </w:r>
          </w:p>
          <w:p w:rsidR="00CC6EA2" w:rsidRPr="00CC6EA2" w:rsidRDefault="00CC6EA2" w:rsidP="00CC6EA2">
            <w:pPr>
              <w:pStyle w:val="a5"/>
              <w:rPr>
                <w:rFonts w:ascii="仿宋_GB2312" w:eastAsia="仿宋_GB2312" w:hint="eastAsia"/>
                <w:color w:val="000000"/>
                <w:kern w:val="0"/>
                <w:sz w:val="30"/>
                <w:szCs w:val="30"/>
              </w:rPr>
            </w:pPr>
            <w:r w:rsidRPr="00CC6EA2">
              <w:rPr>
                <w:rFonts w:ascii="仿宋_GB2312" w:eastAsia="仿宋_GB2312" w:hint="eastAsia"/>
                <w:color w:val="000000"/>
                <w:kern w:val="0"/>
                <w:sz w:val="30"/>
                <w:szCs w:val="30"/>
              </w:rPr>
              <w:t>各市住房城乡建设局，各有关单位：</w:t>
            </w:r>
          </w:p>
          <w:p w:rsidR="00CC6EA2" w:rsidRPr="00CC6EA2" w:rsidRDefault="00CC6EA2" w:rsidP="00CC6EA2">
            <w:pPr>
              <w:pStyle w:val="a5"/>
              <w:ind w:firstLineChars="200" w:firstLine="600"/>
              <w:rPr>
                <w:rFonts w:ascii="仿宋_GB2312" w:eastAsia="仿宋_GB2312" w:hint="eastAsia"/>
                <w:color w:val="000000"/>
                <w:kern w:val="0"/>
                <w:sz w:val="30"/>
                <w:szCs w:val="30"/>
              </w:rPr>
            </w:pPr>
            <w:r w:rsidRPr="00CC6EA2">
              <w:rPr>
                <w:rFonts w:ascii="仿宋_GB2312" w:eastAsia="仿宋_GB2312" w:hint="eastAsia"/>
                <w:color w:val="000000"/>
                <w:kern w:val="0"/>
                <w:sz w:val="30"/>
                <w:szCs w:val="30"/>
              </w:rPr>
              <w:t>为贯彻落实《山东省人民政府办公厅关于进一步促进建筑业改革发展的十六条意见》（鲁政办字〔2019〕53号）精神，根据《山东省住房和城乡建设厅 山东省发展和改革委员会 关于在房屋建筑和市政工程中落实优质优价政策的通知》（鲁建建管字〔2019〕16号）要求，现调整建设工程规费项目组成，增加优质优价费用，有关事项通知如下：</w:t>
            </w:r>
          </w:p>
          <w:p w:rsidR="00CC6EA2" w:rsidRPr="00CC6EA2" w:rsidRDefault="00CC6EA2" w:rsidP="00CC6EA2">
            <w:pPr>
              <w:pStyle w:val="a5"/>
              <w:ind w:firstLineChars="200" w:firstLine="600"/>
              <w:rPr>
                <w:rFonts w:ascii="仿宋_GB2312" w:eastAsia="仿宋_GB2312" w:hint="eastAsia"/>
                <w:color w:val="000000"/>
                <w:kern w:val="0"/>
                <w:sz w:val="30"/>
                <w:szCs w:val="30"/>
              </w:rPr>
            </w:pPr>
            <w:r w:rsidRPr="00CC6EA2">
              <w:rPr>
                <w:rFonts w:ascii="仿宋_GB2312" w:eastAsia="仿宋_GB2312" w:hint="eastAsia"/>
                <w:color w:val="000000"/>
                <w:kern w:val="0"/>
                <w:sz w:val="30"/>
                <w:szCs w:val="30"/>
              </w:rPr>
              <w:t>一、《山东省建设工程费用项目组成及计算规则》（2016版）、《山东省城市轨道交通工程费用项目组成及计算规则》（2018版）、《山东省建设工程概算费用编制规定》（2018版）中的规费项目组成调整为如下内容：</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3235"/>
              <w:gridCol w:w="3710"/>
            </w:tblGrid>
            <w:tr w:rsidR="00CC6EA2" w:rsidRPr="00CC6EA2" w:rsidTr="00CC6EA2">
              <w:trPr>
                <w:trHeight w:val="745"/>
                <w:jc w:val="center"/>
              </w:trPr>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C6EA2" w:rsidRPr="00CC6EA2" w:rsidRDefault="00CC6EA2" w:rsidP="00CC6EA2">
                  <w:pPr>
                    <w:pStyle w:val="a5"/>
                    <w:rPr>
                      <w:rFonts w:ascii="仿宋_GB2312" w:eastAsia="仿宋_GB2312"/>
                      <w:color w:val="000000"/>
                      <w:kern w:val="0"/>
                      <w:sz w:val="30"/>
                      <w:szCs w:val="30"/>
                    </w:rPr>
                  </w:pPr>
                </w:p>
              </w:tc>
              <w:tc>
                <w:tcPr>
                  <w:tcW w:w="323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CC6EA2" w:rsidRPr="00CC6EA2" w:rsidRDefault="00CC6EA2" w:rsidP="00CC6EA2">
                  <w:pPr>
                    <w:pStyle w:val="a5"/>
                    <w:rPr>
                      <w:rFonts w:ascii="仿宋_GB2312" w:eastAsia="仿宋_GB2312"/>
                      <w:color w:val="000000"/>
                      <w:kern w:val="0"/>
                      <w:sz w:val="30"/>
                      <w:szCs w:val="30"/>
                    </w:rPr>
                  </w:pPr>
                  <w:r w:rsidRPr="00CC6EA2">
                    <w:rPr>
                      <w:rFonts w:ascii="仿宋_GB2312" w:eastAsia="仿宋_GB2312" w:hint="eastAsia"/>
                      <w:color w:val="000000"/>
                      <w:kern w:val="0"/>
                      <w:sz w:val="30"/>
                      <w:szCs w:val="30"/>
                    </w:rPr>
                    <w:t>费用名称</w:t>
                  </w:r>
                </w:p>
              </w:tc>
              <w:tc>
                <w:tcPr>
                  <w:tcW w:w="371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C6EA2" w:rsidRPr="00CC6EA2" w:rsidRDefault="00CC6EA2" w:rsidP="00CC6EA2">
                  <w:pPr>
                    <w:pStyle w:val="a5"/>
                    <w:rPr>
                      <w:rFonts w:ascii="仿宋_GB2312" w:eastAsia="仿宋_GB2312"/>
                      <w:color w:val="000000"/>
                      <w:kern w:val="0"/>
                      <w:sz w:val="30"/>
                      <w:szCs w:val="30"/>
                    </w:rPr>
                  </w:pPr>
                  <w:r w:rsidRPr="00CC6EA2">
                    <w:rPr>
                      <w:rFonts w:ascii="仿宋_GB2312" w:eastAsia="仿宋_GB2312" w:hint="eastAsia"/>
                      <w:color w:val="000000"/>
                      <w:kern w:val="0"/>
                      <w:sz w:val="30"/>
                      <w:szCs w:val="30"/>
                    </w:rPr>
                    <w:t>计算方法</w:t>
                  </w:r>
                </w:p>
              </w:tc>
            </w:tr>
            <w:tr w:rsidR="00CC6EA2" w:rsidRPr="00CC6EA2" w:rsidTr="00CC6EA2">
              <w:trPr>
                <w:trHeight w:val="787"/>
                <w:jc w:val="center"/>
              </w:trPr>
              <w:tc>
                <w:tcPr>
                  <w:tcW w:w="96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C6EA2" w:rsidRPr="00CC6EA2" w:rsidRDefault="00CC6EA2" w:rsidP="00CC6EA2">
                  <w:pPr>
                    <w:pStyle w:val="a5"/>
                    <w:rPr>
                      <w:rFonts w:ascii="仿宋_GB2312" w:eastAsia="仿宋_GB2312"/>
                      <w:color w:val="000000"/>
                      <w:kern w:val="0"/>
                      <w:sz w:val="30"/>
                      <w:szCs w:val="30"/>
                    </w:rPr>
                  </w:pPr>
                  <w:r w:rsidRPr="00CC6EA2">
                    <w:rPr>
                      <w:rFonts w:ascii="仿宋_GB2312" w:eastAsia="仿宋_GB2312" w:hint="eastAsia"/>
                      <w:color w:val="000000"/>
                      <w:kern w:val="0"/>
                      <w:sz w:val="30"/>
                      <w:szCs w:val="30"/>
                    </w:rPr>
                    <w:t>规费</w:t>
                  </w:r>
                </w:p>
              </w:tc>
              <w:tc>
                <w:tcPr>
                  <w:tcW w:w="32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CC6EA2" w:rsidRPr="00CC6EA2" w:rsidRDefault="00CC6EA2" w:rsidP="00CC6EA2">
                  <w:pPr>
                    <w:pStyle w:val="a5"/>
                    <w:rPr>
                      <w:rFonts w:ascii="仿宋_GB2312" w:eastAsia="仿宋_GB2312"/>
                      <w:color w:val="000000"/>
                      <w:kern w:val="0"/>
                      <w:sz w:val="30"/>
                      <w:szCs w:val="30"/>
                    </w:rPr>
                  </w:pPr>
                  <w:r w:rsidRPr="00CC6EA2">
                    <w:rPr>
                      <w:rFonts w:ascii="仿宋_GB2312" w:eastAsia="仿宋_GB2312" w:hint="eastAsia"/>
                      <w:color w:val="000000"/>
                      <w:kern w:val="0"/>
                      <w:sz w:val="30"/>
                      <w:szCs w:val="30"/>
                    </w:rPr>
                    <w:t>1 安全文明施工费</w:t>
                  </w:r>
                </w:p>
              </w:tc>
              <w:tc>
                <w:tcPr>
                  <w:tcW w:w="371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C6EA2" w:rsidRPr="00CC6EA2" w:rsidRDefault="00CC6EA2" w:rsidP="00CC6EA2">
                  <w:pPr>
                    <w:pStyle w:val="a5"/>
                    <w:rPr>
                      <w:rFonts w:ascii="仿宋_GB2312" w:eastAsia="仿宋_GB2312"/>
                      <w:color w:val="000000"/>
                      <w:kern w:val="0"/>
                      <w:sz w:val="30"/>
                      <w:szCs w:val="30"/>
                    </w:rPr>
                  </w:pPr>
                  <w:r w:rsidRPr="00CC6EA2">
                    <w:rPr>
                      <w:rFonts w:ascii="仿宋_GB2312" w:eastAsia="仿宋_GB2312" w:hint="eastAsia"/>
                      <w:color w:val="000000"/>
                      <w:kern w:val="0"/>
                      <w:sz w:val="30"/>
                      <w:szCs w:val="30"/>
                    </w:rPr>
                    <w:t>规费前造价×费率</w:t>
                  </w:r>
                </w:p>
              </w:tc>
            </w:tr>
            <w:tr w:rsidR="00CC6EA2" w:rsidRPr="00CC6EA2" w:rsidTr="00CC6EA2">
              <w:trPr>
                <w:trHeight w:val="702"/>
                <w:jc w:val="center"/>
              </w:trPr>
              <w:tc>
                <w:tcPr>
                  <w:tcW w:w="0" w:type="auto"/>
                  <w:vMerge/>
                  <w:tcBorders>
                    <w:top w:val="nil"/>
                    <w:left w:val="single" w:sz="6" w:space="0" w:color="000000"/>
                    <w:bottom w:val="single" w:sz="6" w:space="0" w:color="000000"/>
                    <w:right w:val="single" w:sz="6" w:space="0" w:color="000000"/>
                  </w:tcBorders>
                  <w:vAlign w:val="center"/>
                  <w:hideMark/>
                </w:tcPr>
                <w:p w:rsidR="00CC6EA2" w:rsidRPr="00CC6EA2" w:rsidRDefault="00CC6EA2" w:rsidP="00CC6EA2">
                  <w:pPr>
                    <w:pStyle w:val="a5"/>
                    <w:rPr>
                      <w:rFonts w:ascii="仿宋_GB2312" w:eastAsia="仿宋_GB2312"/>
                      <w:color w:val="000000"/>
                      <w:kern w:val="0"/>
                      <w:sz w:val="30"/>
                      <w:szCs w:val="30"/>
                    </w:rPr>
                  </w:pPr>
                </w:p>
              </w:tc>
              <w:tc>
                <w:tcPr>
                  <w:tcW w:w="32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CC6EA2" w:rsidRPr="00CC6EA2" w:rsidRDefault="00CC6EA2" w:rsidP="00CC6EA2">
                  <w:pPr>
                    <w:pStyle w:val="a5"/>
                    <w:rPr>
                      <w:rFonts w:ascii="仿宋_GB2312" w:eastAsia="仿宋_GB2312"/>
                      <w:color w:val="000000"/>
                      <w:kern w:val="0"/>
                      <w:sz w:val="30"/>
                      <w:szCs w:val="30"/>
                    </w:rPr>
                  </w:pPr>
                  <w:r w:rsidRPr="00CC6EA2">
                    <w:rPr>
                      <w:rFonts w:ascii="仿宋_GB2312" w:eastAsia="仿宋_GB2312" w:hint="eastAsia"/>
                      <w:color w:val="000000"/>
                      <w:kern w:val="0"/>
                      <w:sz w:val="30"/>
                      <w:szCs w:val="30"/>
                    </w:rPr>
                    <w:t>2 社会保险费</w:t>
                  </w:r>
                </w:p>
              </w:tc>
              <w:tc>
                <w:tcPr>
                  <w:tcW w:w="3710" w:type="dxa"/>
                  <w:vMerge/>
                  <w:tcBorders>
                    <w:top w:val="nil"/>
                    <w:left w:val="nil"/>
                    <w:bottom w:val="single" w:sz="6" w:space="0" w:color="000000"/>
                    <w:right w:val="single" w:sz="6" w:space="0" w:color="000000"/>
                  </w:tcBorders>
                  <w:vAlign w:val="center"/>
                  <w:hideMark/>
                </w:tcPr>
                <w:p w:rsidR="00CC6EA2" w:rsidRPr="00CC6EA2" w:rsidRDefault="00CC6EA2" w:rsidP="00CC6EA2">
                  <w:pPr>
                    <w:pStyle w:val="a5"/>
                    <w:rPr>
                      <w:rFonts w:ascii="仿宋_GB2312" w:eastAsia="仿宋_GB2312"/>
                      <w:color w:val="000000"/>
                      <w:kern w:val="0"/>
                      <w:sz w:val="30"/>
                      <w:szCs w:val="30"/>
                    </w:rPr>
                  </w:pPr>
                </w:p>
              </w:tc>
            </w:tr>
            <w:tr w:rsidR="00CC6EA2" w:rsidRPr="00CC6EA2" w:rsidTr="00CC6EA2">
              <w:trPr>
                <w:trHeight w:val="757"/>
                <w:jc w:val="center"/>
              </w:trPr>
              <w:tc>
                <w:tcPr>
                  <w:tcW w:w="0" w:type="auto"/>
                  <w:vMerge/>
                  <w:tcBorders>
                    <w:top w:val="nil"/>
                    <w:left w:val="single" w:sz="6" w:space="0" w:color="000000"/>
                    <w:bottom w:val="single" w:sz="6" w:space="0" w:color="000000"/>
                    <w:right w:val="single" w:sz="6" w:space="0" w:color="000000"/>
                  </w:tcBorders>
                  <w:vAlign w:val="center"/>
                  <w:hideMark/>
                </w:tcPr>
                <w:p w:rsidR="00CC6EA2" w:rsidRPr="00CC6EA2" w:rsidRDefault="00CC6EA2" w:rsidP="00CC6EA2">
                  <w:pPr>
                    <w:pStyle w:val="a5"/>
                    <w:rPr>
                      <w:rFonts w:ascii="仿宋_GB2312" w:eastAsia="仿宋_GB2312"/>
                      <w:color w:val="000000"/>
                      <w:kern w:val="0"/>
                      <w:sz w:val="30"/>
                      <w:szCs w:val="30"/>
                    </w:rPr>
                  </w:pPr>
                </w:p>
              </w:tc>
              <w:tc>
                <w:tcPr>
                  <w:tcW w:w="32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CC6EA2" w:rsidRPr="00CC6EA2" w:rsidRDefault="00CC6EA2" w:rsidP="00CC6EA2">
                  <w:pPr>
                    <w:pStyle w:val="a5"/>
                    <w:rPr>
                      <w:rFonts w:ascii="仿宋_GB2312" w:eastAsia="仿宋_GB2312"/>
                      <w:color w:val="000000"/>
                      <w:kern w:val="0"/>
                      <w:sz w:val="30"/>
                      <w:szCs w:val="30"/>
                    </w:rPr>
                  </w:pPr>
                  <w:r w:rsidRPr="00CC6EA2">
                    <w:rPr>
                      <w:rFonts w:ascii="仿宋_GB2312" w:eastAsia="仿宋_GB2312" w:hint="eastAsia"/>
                      <w:color w:val="000000"/>
                      <w:kern w:val="0"/>
                      <w:sz w:val="30"/>
                      <w:szCs w:val="30"/>
                    </w:rPr>
                    <w:t>3 住房公积金</w:t>
                  </w:r>
                </w:p>
              </w:tc>
              <w:tc>
                <w:tcPr>
                  <w:tcW w:w="371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C6EA2" w:rsidRPr="00CC6EA2" w:rsidRDefault="00CC6EA2" w:rsidP="00CC6EA2">
                  <w:pPr>
                    <w:pStyle w:val="a5"/>
                    <w:rPr>
                      <w:rFonts w:ascii="仿宋_GB2312" w:eastAsia="仿宋_GB2312"/>
                      <w:color w:val="000000"/>
                      <w:kern w:val="0"/>
                      <w:sz w:val="30"/>
                      <w:szCs w:val="30"/>
                    </w:rPr>
                  </w:pPr>
                  <w:r w:rsidRPr="00CC6EA2">
                    <w:rPr>
                      <w:rFonts w:ascii="仿宋_GB2312" w:eastAsia="仿宋_GB2312" w:hint="eastAsia"/>
                      <w:color w:val="000000"/>
                      <w:kern w:val="0"/>
                      <w:sz w:val="30"/>
                      <w:szCs w:val="30"/>
                    </w:rPr>
                    <w:t>按工程所在地设区市相关规定计算</w:t>
                  </w:r>
                </w:p>
              </w:tc>
            </w:tr>
            <w:tr w:rsidR="00CC6EA2" w:rsidRPr="00CC6EA2" w:rsidTr="00CC6EA2">
              <w:trPr>
                <w:trHeight w:val="657"/>
                <w:jc w:val="center"/>
              </w:trPr>
              <w:tc>
                <w:tcPr>
                  <w:tcW w:w="0" w:type="auto"/>
                  <w:vMerge/>
                  <w:tcBorders>
                    <w:top w:val="nil"/>
                    <w:left w:val="single" w:sz="6" w:space="0" w:color="000000"/>
                    <w:bottom w:val="single" w:sz="6" w:space="0" w:color="000000"/>
                    <w:right w:val="single" w:sz="6" w:space="0" w:color="000000"/>
                  </w:tcBorders>
                  <w:vAlign w:val="center"/>
                  <w:hideMark/>
                </w:tcPr>
                <w:p w:rsidR="00CC6EA2" w:rsidRPr="00CC6EA2" w:rsidRDefault="00CC6EA2" w:rsidP="00CC6EA2">
                  <w:pPr>
                    <w:pStyle w:val="a5"/>
                    <w:rPr>
                      <w:rFonts w:ascii="仿宋_GB2312" w:eastAsia="仿宋_GB2312"/>
                      <w:color w:val="000000"/>
                      <w:kern w:val="0"/>
                      <w:sz w:val="30"/>
                      <w:szCs w:val="30"/>
                    </w:rPr>
                  </w:pPr>
                </w:p>
              </w:tc>
              <w:tc>
                <w:tcPr>
                  <w:tcW w:w="32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CC6EA2" w:rsidRPr="00CC6EA2" w:rsidRDefault="00CC6EA2" w:rsidP="00CC6EA2">
                  <w:pPr>
                    <w:pStyle w:val="a5"/>
                    <w:rPr>
                      <w:rFonts w:ascii="仿宋_GB2312" w:eastAsia="仿宋_GB2312"/>
                      <w:color w:val="000000"/>
                      <w:kern w:val="0"/>
                      <w:sz w:val="30"/>
                      <w:szCs w:val="30"/>
                    </w:rPr>
                  </w:pPr>
                  <w:r w:rsidRPr="00CC6EA2">
                    <w:rPr>
                      <w:rFonts w:ascii="仿宋_GB2312" w:eastAsia="仿宋_GB2312" w:hint="eastAsia"/>
                      <w:color w:val="000000"/>
                      <w:kern w:val="0"/>
                      <w:sz w:val="30"/>
                      <w:szCs w:val="30"/>
                    </w:rPr>
                    <w:t>4 环境保护税</w:t>
                  </w:r>
                </w:p>
              </w:tc>
              <w:tc>
                <w:tcPr>
                  <w:tcW w:w="3710" w:type="dxa"/>
                  <w:vMerge/>
                  <w:tcBorders>
                    <w:top w:val="nil"/>
                    <w:left w:val="nil"/>
                    <w:bottom w:val="single" w:sz="6" w:space="0" w:color="000000"/>
                    <w:right w:val="single" w:sz="6" w:space="0" w:color="000000"/>
                  </w:tcBorders>
                  <w:vAlign w:val="center"/>
                  <w:hideMark/>
                </w:tcPr>
                <w:p w:rsidR="00CC6EA2" w:rsidRPr="00CC6EA2" w:rsidRDefault="00CC6EA2" w:rsidP="00CC6EA2">
                  <w:pPr>
                    <w:pStyle w:val="a5"/>
                    <w:rPr>
                      <w:rFonts w:ascii="仿宋_GB2312" w:eastAsia="仿宋_GB2312"/>
                      <w:color w:val="000000"/>
                      <w:kern w:val="0"/>
                      <w:sz w:val="30"/>
                      <w:szCs w:val="30"/>
                    </w:rPr>
                  </w:pPr>
                </w:p>
              </w:tc>
            </w:tr>
            <w:tr w:rsidR="00CC6EA2" w:rsidRPr="00CC6EA2" w:rsidTr="00CC6EA2">
              <w:trPr>
                <w:trHeight w:val="586"/>
                <w:jc w:val="center"/>
              </w:trPr>
              <w:tc>
                <w:tcPr>
                  <w:tcW w:w="0" w:type="auto"/>
                  <w:vMerge/>
                  <w:tcBorders>
                    <w:top w:val="nil"/>
                    <w:left w:val="single" w:sz="6" w:space="0" w:color="000000"/>
                    <w:bottom w:val="single" w:sz="6" w:space="0" w:color="000000"/>
                    <w:right w:val="single" w:sz="6" w:space="0" w:color="000000"/>
                  </w:tcBorders>
                  <w:vAlign w:val="center"/>
                  <w:hideMark/>
                </w:tcPr>
                <w:p w:rsidR="00CC6EA2" w:rsidRPr="00CC6EA2" w:rsidRDefault="00CC6EA2" w:rsidP="00CC6EA2">
                  <w:pPr>
                    <w:pStyle w:val="a5"/>
                    <w:rPr>
                      <w:rFonts w:ascii="仿宋_GB2312" w:eastAsia="仿宋_GB2312"/>
                      <w:color w:val="000000"/>
                      <w:kern w:val="0"/>
                      <w:sz w:val="30"/>
                      <w:szCs w:val="30"/>
                    </w:rPr>
                  </w:pPr>
                </w:p>
              </w:tc>
              <w:tc>
                <w:tcPr>
                  <w:tcW w:w="32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CC6EA2" w:rsidRPr="00CC6EA2" w:rsidRDefault="00CC6EA2" w:rsidP="00CC6EA2">
                  <w:pPr>
                    <w:pStyle w:val="a5"/>
                    <w:rPr>
                      <w:rFonts w:ascii="仿宋_GB2312" w:eastAsia="仿宋_GB2312"/>
                      <w:color w:val="000000"/>
                      <w:kern w:val="0"/>
                      <w:sz w:val="30"/>
                      <w:szCs w:val="30"/>
                    </w:rPr>
                  </w:pPr>
                  <w:r w:rsidRPr="00CC6EA2">
                    <w:rPr>
                      <w:rFonts w:ascii="仿宋_GB2312" w:eastAsia="仿宋_GB2312" w:hint="eastAsia"/>
                      <w:color w:val="000000"/>
                      <w:kern w:val="0"/>
                      <w:sz w:val="30"/>
                      <w:szCs w:val="30"/>
                    </w:rPr>
                    <w:t>5 建设项目工伤保险</w:t>
                  </w:r>
                </w:p>
              </w:tc>
              <w:tc>
                <w:tcPr>
                  <w:tcW w:w="3710" w:type="dxa"/>
                  <w:vMerge/>
                  <w:tcBorders>
                    <w:top w:val="nil"/>
                    <w:left w:val="nil"/>
                    <w:bottom w:val="single" w:sz="6" w:space="0" w:color="000000"/>
                    <w:right w:val="single" w:sz="6" w:space="0" w:color="000000"/>
                  </w:tcBorders>
                  <w:vAlign w:val="center"/>
                  <w:hideMark/>
                </w:tcPr>
                <w:p w:rsidR="00CC6EA2" w:rsidRPr="00CC6EA2" w:rsidRDefault="00CC6EA2" w:rsidP="00CC6EA2">
                  <w:pPr>
                    <w:pStyle w:val="a5"/>
                    <w:rPr>
                      <w:rFonts w:ascii="仿宋_GB2312" w:eastAsia="仿宋_GB2312"/>
                      <w:color w:val="000000"/>
                      <w:kern w:val="0"/>
                      <w:sz w:val="30"/>
                      <w:szCs w:val="30"/>
                    </w:rPr>
                  </w:pPr>
                </w:p>
              </w:tc>
            </w:tr>
            <w:tr w:rsidR="00CC6EA2" w:rsidRPr="00CC6EA2" w:rsidTr="00CC6EA2">
              <w:trPr>
                <w:jc w:val="center"/>
              </w:trPr>
              <w:tc>
                <w:tcPr>
                  <w:tcW w:w="0" w:type="auto"/>
                  <w:vMerge/>
                  <w:tcBorders>
                    <w:top w:val="nil"/>
                    <w:left w:val="single" w:sz="6" w:space="0" w:color="000000"/>
                    <w:bottom w:val="single" w:sz="6" w:space="0" w:color="000000"/>
                    <w:right w:val="single" w:sz="6" w:space="0" w:color="000000"/>
                  </w:tcBorders>
                  <w:vAlign w:val="center"/>
                  <w:hideMark/>
                </w:tcPr>
                <w:p w:rsidR="00CC6EA2" w:rsidRPr="00CC6EA2" w:rsidRDefault="00CC6EA2" w:rsidP="00CC6EA2">
                  <w:pPr>
                    <w:pStyle w:val="a5"/>
                    <w:rPr>
                      <w:rFonts w:ascii="仿宋_GB2312" w:eastAsia="仿宋_GB2312"/>
                      <w:color w:val="000000"/>
                      <w:kern w:val="0"/>
                      <w:sz w:val="30"/>
                      <w:szCs w:val="30"/>
                    </w:rPr>
                  </w:pPr>
                </w:p>
              </w:tc>
              <w:tc>
                <w:tcPr>
                  <w:tcW w:w="32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CC6EA2" w:rsidRPr="00CC6EA2" w:rsidRDefault="00CC6EA2" w:rsidP="00CC6EA2">
                  <w:pPr>
                    <w:pStyle w:val="a5"/>
                    <w:rPr>
                      <w:rFonts w:ascii="仿宋_GB2312" w:eastAsia="仿宋_GB2312"/>
                      <w:color w:val="000000"/>
                      <w:kern w:val="0"/>
                      <w:sz w:val="30"/>
                      <w:szCs w:val="30"/>
                    </w:rPr>
                  </w:pPr>
                  <w:r w:rsidRPr="00CC6EA2">
                    <w:rPr>
                      <w:rFonts w:ascii="仿宋_GB2312" w:eastAsia="仿宋_GB2312" w:hint="eastAsia"/>
                      <w:color w:val="000000"/>
                      <w:kern w:val="0"/>
                      <w:sz w:val="30"/>
                      <w:szCs w:val="30"/>
                    </w:rPr>
                    <w:t>6 优质优价费用</w:t>
                  </w:r>
                </w:p>
              </w:tc>
              <w:tc>
                <w:tcPr>
                  <w:tcW w:w="3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CC6EA2" w:rsidRPr="00CC6EA2" w:rsidRDefault="00CC6EA2" w:rsidP="00CC6EA2">
                  <w:pPr>
                    <w:pStyle w:val="a5"/>
                    <w:rPr>
                      <w:rFonts w:ascii="仿宋_GB2312" w:eastAsia="仿宋_GB2312"/>
                      <w:color w:val="000000"/>
                      <w:kern w:val="0"/>
                      <w:sz w:val="30"/>
                      <w:szCs w:val="30"/>
                    </w:rPr>
                  </w:pPr>
                  <w:r w:rsidRPr="00CC6EA2">
                    <w:rPr>
                      <w:rFonts w:ascii="仿宋_GB2312" w:eastAsia="仿宋_GB2312" w:hint="eastAsia"/>
                      <w:color w:val="000000"/>
                      <w:kern w:val="0"/>
                      <w:sz w:val="30"/>
                      <w:szCs w:val="30"/>
                    </w:rPr>
                    <w:t>规费前造价×费率</w:t>
                  </w:r>
                </w:p>
              </w:tc>
            </w:tr>
          </w:tbl>
          <w:p w:rsidR="00CC6EA2" w:rsidRPr="00CC6EA2" w:rsidRDefault="00CC6EA2" w:rsidP="00CC6EA2">
            <w:pPr>
              <w:pStyle w:val="a5"/>
              <w:ind w:firstLineChars="200" w:firstLine="600"/>
              <w:rPr>
                <w:rFonts w:ascii="仿宋_GB2312" w:eastAsia="仿宋_GB2312" w:hint="eastAsia"/>
                <w:color w:val="000000"/>
                <w:kern w:val="0"/>
                <w:sz w:val="30"/>
                <w:szCs w:val="30"/>
              </w:rPr>
            </w:pPr>
            <w:r w:rsidRPr="00CC6EA2">
              <w:rPr>
                <w:rFonts w:ascii="仿宋_GB2312" w:eastAsia="仿宋_GB2312" w:hint="eastAsia"/>
                <w:color w:val="000000"/>
                <w:kern w:val="0"/>
                <w:sz w:val="30"/>
                <w:szCs w:val="30"/>
              </w:rPr>
              <w:lastRenderedPageBreak/>
              <w:t>备注：按照国家有关部门规定，2018年1月1日起工程排污费不再征收，改征环境保护税，该费用暂列在规费中。</w:t>
            </w:r>
          </w:p>
          <w:p w:rsidR="00CC6EA2" w:rsidRPr="00CC6EA2" w:rsidRDefault="00CC6EA2" w:rsidP="00CC6EA2">
            <w:pPr>
              <w:pStyle w:val="a5"/>
              <w:ind w:firstLineChars="200" w:firstLine="600"/>
              <w:rPr>
                <w:rFonts w:ascii="仿宋_GB2312" w:eastAsia="仿宋_GB2312" w:hint="eastAsia"/>
                <w:color w:val="000000"/>
                <w:kern w:val="0"/>
                <w:sz w:val="30"/>
                <w:szCs w:val="30"/>
              </w:rPr>
            </w:pPr>
            <w:r w:rsidRPr="00CC6EA2">
              <w:rPr>
                <w:rFonts w:ascii="仿宋_GB2312" w:eastAsia="仿宋_GB2312" w:hint="eastAsia"/>
                <w:color w:val="000000"/>
                <w:kern w:val="0"/>
                <w:sz w:val="30"/>
                <w:szCs w:val="30"/>
              </w:rPr>
              <w:t>二、优质优价费用自鲁建建管字〔2019〕16号文件发布之日起执行，费率执行该文件有关规定。</w:t>
            </w:r>
          </w:p>
          <w:p w:rsidR="00CC6EA2" w:rsidRPr="00CC6EA2" w:rsidRDefault="00CC6EA2" w:rsidP="00CC6EA2">
            <w:pPr>
              <w:pStyle w:val="a5"/>
              <w:rPr>
                <w:rFonts w:ascii="仿宋_GB2312" w:eastAsia="仿宋_GB2312" w:hint="eastAsia"/>
                <w:color w:val="000000"/>
                <w:kern w:val="0"/>
                <w:sz w:val="30"/>
                <w:szCs w:val="30"/>
              </w:rPr>
            </w:pPr>
            <w:r w:rsidRPr="00CC6EA2">
              <w:rPr>
                <w:rFonts w:ascii="仿宋_GB2312" w:eastAsia="仿宋_GB2312" w:hint="eastAsia"/>
                <w:color w:val="000000"/>
                <w:kern w:val="0"/>
                <w:sz w:val="30"/>
                <w:szCs w:val="30"/>
              </w:rPr>
              <w:t> </w:t>
            </w:r>
          </w:p>
          <w:p w:rsidR="00CC6EA2" w:rsidRPr="00CC6EA2" w:rsidRDefault="00CC6EA2" w:rsidP="00CC6EA2">
            <w:pPr>
              <w:pStyle w:val="a5"/>
              <w:rPr>
                <w:rFonts w:ascii="仿宋_GB2312" w:eastAsia="仿宋_GB2312" w:hint="eastAsia"/>
                <w:color w:val="000000"/>
                <w:kern w:val="0"/>
                <w:sz w:val="30"/>
                <w:szCs w:val="30"/>
              </w:rPr>
            </w:pPr>
            <w:r w:rsidRPr="00CC6EA2">
              <w:rPr>
                <w:rFonts w:ascii="仿宋_GB2312" w:eastAsia="仿宋_GB2312" w:hint="eastAsia"/>
                <w:color w:val="000000"/>
                <w:kern w:val="0"/>
                <w:sz w:val="30"/>
                <w:szCs w:val="30"/>
              </w:rPr>
              <w:t> </w:t>
            </w:r>
          </w:p>
          <w:p w:rsidR="00CC6EA2" w:rsidRPr="00CC6EA2" w:rsidRDefault="00CC6EA2" w:rsidP="00CC6EA2">
            <w:pPr>
              <w:pStyle w:val="a5"/>
              <w:ind w:firstLineChars="1050" w:firstLine="3150"/>
              <w:rPr>
                <w:rFonts w:ascii="仿宋_GB2312" w:eastAsia="仿宋_GB2312" w:hint="eastAsia"/>
                <w:color w:val="000000"/>
                <w:kern w:val="0"/>
                <w:sz w:val="30"/>
                <w:szCs w:val="30"/>
              </w:rPr>
            </w:pPr>
            <w:r w:rsidRPr="00CC6EA2">
              <w:rPr>
                <w:rFonts w:ascii="仿宋_GB2312" w:eastAsia="仿宋_GB2312" w:hint="eastAsia"/>
                <w:color w:val="000000"/>
                <w:kern w:val="0"/>
                <w:sz w:val="30"/>
                <w:szCs w:val="30"/>
              </w:rPr>
              <w:t>山东省住房和城乡建设厅</w:t>
            </w:r>
            <w:r w:rsidRPr="00CC6EA2">
              <w:rPr>
                <w:rFonts w:ascii="仿宋_GB2312" w:eastAsia="仿宋_GB2312" w:hint="eastAsia"/>
                <w:color w:val="000000"/>
                <w:kern w:val="0"/>
                <w:sz w:val="30"/>
                <w:szCs w:val="30"/>
              </w:rPr>
              <w:t> </w:t>
            </w:r>
          </w:p>
          <w:p w:rsidR="00CC6EA2" w:rsidRPr="00CC6EA2" w:rsidRDefault="00CC6EA2" w:rsidP="00CC6EA2">
            <w:pPr>
              <w:pStyle w:val="a5"/>
              <w:ind w:firstLineChars="1200" w:firstLine="3600"/>
              <w:rPr>
                <w:rFonts w:ascii="仿宋_GB2312" w:eastAsia="仿宋_GB2312"/>
                <w:color w:val="000000"/>
                <w:kern w:val="0"/>
                <w:sz w:val="30"/>
                <w:szCs w:val="30"/>
              </w:rPr>
            </w:pPr>
            <w:r w:rsidRPr="00CC6EA2">
              <w:rPr>
                <w:rFonts w:ascii="仿宋_GB2312" w:eastAsia="仿宋_GB2312" w:hint="eastAsia"/>
                <w:color w:val="000000"/>
                <w:kern w:val="0"/>
                <w:sz w:val="30"/>
                <w:szCs w:val="30"/>
              </w:rPr>
              <w:t>2019年9月17日</w:t>
            </w:r>
          </w:p>
        </w:tc>
      </w:tr>
    </w:tbl>
    <w:p w:rsidR="00EB6FF9" w:rsidRDefault="00EB6FF9"/>
    <w:sectPr w:rsidR="00EB6FF9" w:rsidSect="00EB6F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6EA2"/>
    <w:rsid w:val="00CC6EA2"/>
    <w:rsid w:val="00EB6F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F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6EA2"/>
    <w:rPr>
      <w:rFonts w:ascii="宋体" w:eastAsia="宋体" w:hAnsi="宋体" w:hint="eastAsia"/>
      <w:strike w:val="0"/>
      <w:dstrike w:val="0"/>
      <w:color w:val="3D3D3D"/>
      <w:u w:val="none"/>
      <w:effect w:val="none"/>
    </w:rPr>
  </w:style>
  <w:style w:type="paragraph" w:styleId="a4">
    <w:name w:val="Normal (Web)"/>
    <w:basedOn w:val="a"/>
    <w:uiPriority w:val="99"/>
    <w:unhideWhenUsed/>
    <w:rsid w:val="00CC6EA2"/>
    <w:pPr>
      <w:widowControl/>
      <w:spacing w:before="150" w:after="150" w:line="480" w:lineRule="auto"/>
      <w:jc w:val="left"/>
    </w:pPr>
    <w:rPr>
      <w:rFonts w:ascii="宋体" w:eastAsia="宋体" w:hAnsi="宋体" w:cs="宋体"/>
      <w:color w:val="000000"/>
      <w:kern w:val="0"/>
      <w:sz w:val="24"/>
      <w:szCs w:val="24"/>
    </w:rPr>
  </w:style>
  <w:style w:type="paragraph" w:styleId="a5">
    <w:name w:val="No Spacing"/>
    <w:uiPriority w:val="1"/>
    <w:qFormat/>
    <w:rsid w:val="00CC6EA2"/>
    <w:pPr>
      <w:widowControl w:val="0"/>
      <w:jc w:val="both"/>
    </w:pPr>
  </w:style>
</w:styles>
</file>

<file path=word/webSettings.xml><?xml version="1.0" encoding="utf-8"?>
<w:webSettings xmlns:r="http://schemas.openxmlformats.org/officeDocument/2006/relationships" xmlns:w="http://schemas.openxmlformats.org/wordprocessingml/2006/main">
  <w:divs>
    <w:div w:id="1611937456">
      <w:bodyDiv w:val="1"/>
      <w:marLeft w:val="0"/>
      <w:marRight w:val="0"/>
      <w:marTop w:val="0"/>
      <w:marBottom w:val="0"/>
      <w:divBdr>
        <w:top w:val="none" w:sz="0" w:space="0" w:color="auto"/>
        <w:left w:val="none" w:sz="0" w:space="0" w:color="auto"/>
        <w:bottom w:val="none" w:sz="0" w:space="0" w:color="auto"/>
        <w:right w:val="none" w:sz="0" w:space="0" w:color="auto"/>
      </w:divBdr>
      <w:divsChild>
        <w:div w:id="183861236">
          <w:marLeft w:val="0"/>
          <w:marRight w:val="0"/>
          <w:marTop w:val="0"/>
          <w:marBottom w:val="0"/>
          <w:divBdr>
            <w:top w:val="none" w:sz="0" w:space="0" w:color="auto"/>
            <w:left w:val="none" w:sz="0" w:space="0" w:color="auto"/>
            <w:bottom w:val="none" w:sz="0" w:space="0" w:color="auto"/>
            <w:right w:val="none" w:sz="0" w:space="0" w:color="auto"/>
          </w:divBdr>
          <w:divsChild>
            <w:div w:id="20375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85</Words>
  <Characters>487</Characters>
  <Application>Microsoft Office Word</Application>
  <DocSecurity>0</DocSecurity>
  <Lines>4</Lines>
  <Paragraphs>1</Paragraphs>
  <ScaleCrop>false</ScaleCrop>
  <Company>微软中国</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2019-09-19T07:01:00Z</dcterms:created>
  <dcterms:modified xsi:type="dcterms:W3CDTF">2019-09-19T07:09:00Z</dcterms:modified>
</cp:coreProperties>
</file>