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2017年建设</w:t>
      </w:r>
      <w:r>
        <w:rPr>
          <w:rFonts w:hint="eastAsia" w:ascii="方正小标宋简体" w:hAnsi="方正小标宋简体" w:eastAsia="方正小标宋简体" w:cs="方正小标宋简体"/>
          <w:sz w:val="44"/>
          <w:szCs w:val="44"/>
          <w:lang w:eastAsia="zh-CN"/>
        </w:rPr>
        <w:t>工程第三方评估检测</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有关情况的通报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各建设、施工、监理单位：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为进一步加强</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lang w:eastAsia="zh-CN"/>
        </w:rPr>
        <w:t>工程质量安全监管，提升参建各方质量意识，住房和建设管理局和建设业联合会聘请深圳市瑞捷建筑工程咨询有限公司对全区所有在建住宅、</w:t>
      </w:r>
      <w:r>
        <w:rPr>
          <w:rFonts w:hint="eastAsia" w:ascii="仿宋_GB2312" w:hAnsi="仿宋_GB2312" w:eastAsia="仿宋_GB2312" w:cs="仿宋_GB2312"/>
          <w:sz w:val="32"/>
          <w:szCs w:val="32"/>
          <w:lang w:val="en-US" w:eastAsia="zh-CN"/>
        </w:rPr>
        <w:t>公建</w:t>
      </w:r>
      <w:r>
        <w:rPr>
          <w:rFonts w:hint="eastAsia" w:ascii="仿宋_GB2312" w:hAnsi="仿宋_GB2312" w:eastAsia="仿宋_GB2312" w:cs="仿宋_GB2312"/>
          <w:sz w:val="32"/>
          <w:szCs w:val="32"/>
          <w:lang w:eastAsia="zh-CN"/>
        </w:rPr>
        <w:t>工程进行了</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第一次评估检测，并根据评估得分高低进行了综合排序。现将有关情况通报如下：</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本次评估包括区内所有在建住宅工程和</w:t>
      </w:r>
      <w:r>
        <w:rPr>
          <w:rFonts w:hint="eastAsia" w:ascii="仿宋_GB2312" w:hAnsi="仿宋_GB2312" w:eastAsia="仿宋_GB2312" w:cs="仿宋_GB2312"/>
          <w:sz w:val="32"/>
          <w:szCs w:val="32"/>
          <w:lang w:val="en-US" w:eastAsia="zh-CN"/>
        </w:rPr>
        <w:t>公建学校</w:t>
      </w:r>
      <w:r>
        <w:rPr>
          <w:rFonts w:hint="eastAsia" w:ascii="仿宋_GB2312" w:hAnsi="仿宋_GB2312" w:eastAsia="仿宋_GB2312" w:cs="仿宋_GB2312"/>
          <w:sz w:val="32"/>
          <w:szCs w:val="32"/>
          <w:lang w:eastAsia="zh-CN"/>
        </w:rPr>
        <w:t>工程，累计</w:t>
      </w:r>
      <w:r>
        <w:rPr>
          <w:rFonts w:hint="eastAsia" w:ascii="仿宋_GB2312" w:hAnsi="仿宋_GB2312" w:eastAsia="仿宋_GB2312" w:cs="仿宋_GB2312"/>
          <w:sz w:val="32"/>
          <w:szCs w:val="32"/>
          <w:lang w:val="en-US" w:eastAsia="zh-CN"/>
        </w:rPr>
        <w:t>21个项目，总建筑面积约260万平方米。按照每个项目每个施工单位抽检1-2个单体工程，累计抽检35个单体工程，涉及19家施工单位。检测人员由第三方评估公司从总部随机委派，施工现场随机抽取单体工程，随机抽取检测部位，按照同一标准、同一尺度进行检测，检测数据实时上传，当场公布，检测结果公平公正。评估分为工程质量实测实量、质量风险控制、安全文明施工三个部分。实测实量根据工程的实际进度，设定具体的实测实量项目，抽检结果如实反映了各工程的实际施工质量安全水平。对于一个项目由多家施工总包单位施工的，该项目得分为多家施工总包单位的平均得分；对于一个施工总包单位承建多个项目的，该施工总包单位得分为其承建所有项目的平均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二、评估得分情况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第三方评估，项目综合平均得分为85.17分，比2016高出1.48分，比2014年第一次评估高出12.72分，85分以上的优秀标段比2016年高出一倍多，各单位间的差距逐渐缩小，建设、施工单位对工程质量安全管理越来越重视，自我管控能力越来越强，全区建设工程质量安全管理整体水平全面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（一）项目综合排序汇总</w:t>
      </w:r>
    </w:p>
    <w:tbl>
      <w:tblPr>
        <w:tblStyle w:val="3"/>
        <w:tblW w:w="8403" w:type="dxa"/>
        <w:jc w:val="center"/>
        <w:tblInd w:w="-39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530"/>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57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项目名称</w:t>
            </w:r>
          </w:p>
        </w:tc>
        <w:tc>
          <w:tcPr>
            <w:tcW w:w="15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综合得分</w:t>
            </w:r>
          </w:p>
        </w:tc>
        <w:tc>
          <w:tcPr>
            <w:tcW w:w="10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bookmarkStart w:id="0" w:name="OLE_LINK1" w:colFirst="0" w:colLast="0"/>
            <w:r>
              <w:rPr>
                <w:rFonts w:hint="eastAsia" w:ascii="仿宋" w:hAnsi="仿宋" w:eastAsia="仿宋" w:cs="仿宋"/>
                <w:b w:val="0"/>
                <w:bCs w:val="0"/>
                <w:color w:val="000000"/>
                <w:sz w:val="32"/>
                <w:szCs w:val="32"/>
                <w:highlight w:val="none"/>
                <w:lang w:val="en-US" w:eastAsia="zh-CN"/>
              </w:rPr>
              <w:t>万科城</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91.86</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花溪径</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91.34</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越秀星汇金沙三期</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90.84</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栖里凤台山庄</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89.91</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天颐郦城</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89.01</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香橙小区</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88.71</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星海湾三期</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88.02</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中节能·聚创新城</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87.85</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柳林小区幼儿园</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86.84</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海纳科技商业广场</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86.71</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海信天山郡</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85.29</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佰和悦府一期</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83.76</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滨海酒店</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82.94</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悦海和园小区</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81.61</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学府佳苑小区</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81.03</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紫薇台</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80.95</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万豪酒店及商务办公楼</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80.76</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万行广场</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79.49</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海河幼儿园</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78.95</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磁山半山观海区（Ｄ地块）</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78.36</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000000"/>
                <w:sz w:val="32"/>
                <w:szCs w:val="32"/>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778"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i w:val="0"/>
                <w:color w:val="000000"/>
                <w:kern w:val="0"/>
                <w:sz w:val="32"/>
                <w:szCs w:val="32"/>
                <w:u w:val="none"/>
                <w:lang w:val="en-US" w:eastAsia="zh-CN" w:bidi="ar-SA"/>
              </w:rPr>
            </w:pPr>
            <w:r>
              <w:rPr>
                <w:rFonts w:hint="eastAsia" w:ascii="仿宋" w:hAnsi="仿宋" w:eastAsia="仿宋" w:cs="仿宋"/>
                <w:b w:val="0"/>
                <w:bCs w:val="0"/>
                <w:color w:val="000000"/>
                <w:sz w:val="32"/>
                <w:szCs w:val="32"/>
                <w:highlight w:val="none"/>
                <w:lang w:val="en-US" w:eastAsia="zh-CN"/>
              </w:rPr>
              <w:t>嵛景华城</w:t>
            </w:r>
          </w:p>
        </w:tc>
        <w:tc>
          <w:tcPr>
            <w:tcW w:w="1530"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78.17</w:t>
            </w:r>
          </w:p>
        </w:tc>
        <w:tc>
          <w:tcPr>
            <w:tcW w:w="1095" w:type="dxa"/>
            <w:tcBorders>
              <w:tl2br w:val="nil"/>
              <w:tr2bl w:val="nil"/>
            </w:tcBorders>
            <w:shd w:val="clear" w:color="auto" w:fill="auto"/>
            <w:textDirection w:val="lrTb"/>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highlight w:val="none"/>
                <w:lang w:val="en-US" w:eastAsia="zh-CN"/>
              </w:rPr>
              <w:t>21</w:t>
            </w:r>
          </w:p>
        </w:tc>
      </w:tr>
      <w:bookmarkEnd w:id="0"/>
    </w:tbl>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（二）施工单位综合排序汇总</w:t>
      </w:r>
    </w:p>
    <w:tbl>
      <w:tblPr>
        <w:tblStyle w:val="3"/>
        <w:tblW w:w="8420" w:type="dxa"/>
        <w:jc w:val="center"/>
        <w:tblInd w:w="-19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83"/>
        <w:gridCol w:w="1509"/>
        <w:gridCol w:w="1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2" w:hRule="atLeast"/>
          <w:jc w:val="center"/>
        </w:trPr>
        <w:tc>
          <w:tcPr>
            <w:tcW w:w="5783" w:type="dxa"/>
            <w:tcBorders>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施工单位</w:t>
            </w:r>
          </w:p>
        </w:tc>
        <w:tc>
          <w:tcPr>
            <w:tcW w:w="1509" w:type="dxa"/>
            <w:tcBorders>
              <w:lef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综合得分</w:t>
            </w:r>
          </w:p>
        </w:tc>
        <w:tc>
          <w:tcPr>
            <w:tcW w:w="1128" w:type="dxa"/>
            <w:shd w:val="clear" w:color="000000" w:fill="auto"/>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jc w:val="center"/>
              <w:outlineLvl w:val="9"/>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烟台市红旗置业有限公司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91.84</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山东飞鸿建设集团有限公司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89.46</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烟建集团六公司</w:t>
            </w:r>
          </w:p>
        </w:tc>
        <w:tc>
          <w:tcPr>
            <w:tcW w:w="1509"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89.29</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烟台市惠安建筑工程有限公司</w:t>
            </w:r>
          </w:p>
        </w:tc>
        <w:tc>
          <w:tcPr>
            <w:tcW w:w="1509"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88.02</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烟台开发区双鹏建筑装饰有限公司</w:t>
            </w:r>
          </w:p>
        </w:tc>
        <w:tc>
          <w:tcPr>
            <w:tcW w:w="1509"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87.85</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荣华建设集团有限公司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86.32</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中国建筑第五工程局有限公司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86.23</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山东泰鸿置业有限公司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85.55</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烟台市润朋建筑有限公司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85.08</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天元建设集团有限公司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84.25</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烟台宏源建设工程有限公司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83.68</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烟台创元建筑工程有限公司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83.37</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烟台同和建筑工程有限公司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82.94</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烟台佳和建筑工程有限公司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80.95</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中国建筑第二工程局有限公司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80.76</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中浩建设股份有限公司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79.49</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山东德信建设集团股份有限公司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78.95</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烟台市金河建设有限公司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78.36</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783" w:type="dxa"/>
            <w:tcBorders>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烟台永泰建筑工程有限责任公司</w:t>
            </w:r>
          </w:p>
        </w:tc>
        <w:tc>
          <w:tcPr>
            <w:tcW w:w="1509" w:type="dxa"/>
            <w:tcBorders>
              <w:lef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78.17</w:t>
            </w:r>
          </w:p>
        </w:tc>
        <w:tc>
          <w:tcPr>
            <w:tcW w:w="1128"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center"/>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（三）2014-2017年评估综合得分对比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2"/>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281305</wp:posOffset>
            </wp:positionV>
            <wp:extent cx="5935980" cy="3876675"/>
            <wp:effectExtent l="0" t="0" r="7620" b="9525"/>
            <wp:wrapThrough wrapText="bothSides">
              <wp:wrapPolygon>
                <wp:start x="0" y="0"/>
                <wp:lineTo x="0" y="21547"/>
                <wp:lineTo x="21558" y="21547"/>
                <wp:lineTo x="21558" y="0"/>
                <wp:lineTo x="0" y="0"/>
              </wp:wrapPolygon>
            </wp:wrapThrough>
            <wp:docPr id="7" name="图片 7" descr="QQ图片2017072416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70724164821"/>
                    <pic:cNvPicPr>
                      <a:picLocks noChangeAspect="1"/>
                    </pic:cNvPicPr>
                  </pic:nvPicPr>
                  <pic:blipFill>
                    <a:blip r:embed="rId4"/>
                    <a:stretch>
                      <a:fillRect/>
                    </a:stretch>
                  </pic:blipFill>
                  <pic:spPr>
                    <a:xfrm>
                      <a:off x="0" y="0"/>
                      <a:ext cx="5935980" cy="38766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三、评估结果运用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烟台经济技术开发区建筑业企业、工程监理企业信用评价管理办法》规定，总体排名前20%且总分不低于85分的，按照排名顺序依次加分；总体排名后20%且总分低于70分的，按排名顺序依次减分。根据本次检测结果，给予排名1至4位的施工单位分别加8、6、4、2分。希望本次评估检测排名在前企业进一步强化质量安全管理，争创精品工程；排名在后的企业要学习先进，查找差距，努力提高管理水平。</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注：本次评估检测详细结果详见烟台开发区建设业联合会网站（网址</w:t>
      </w:r>
      <w:r>
        <w:rPr>
          <w:rFonts w:hint="default" w:ascii="Times New Roman" w:hAnsi="Times New Roman" w:eastAsia="仿宋_GB2312" w:cs="Times New Roman"/>
          <w:sz w:val="32"/>
          <w:szCs w:val="32"/>
          <w:lang w:val="en-US" w:eastAsia="zh-CN"/>
        </w:rPr>
        <w:t>http://www.yklhh.com</w:t>
      </w:r>
      <w:r>
        <w:rPr>
          <w:rFonts w:hint="eastAsia" w:ascii="仿宋_GB2312" w:hAnsi="仿宋_GB2312" w:eastAsia="仿宋_GB2312" w:cs="仿宋_GB2312"/>
          <w:sz w:val="32"/>
          <w:szCs w:val="32"/>
          <w:lang w:val="en-US" w:eastAsia="zh-CN"/>
        </w:rPr>
        <w:t>）中“最新公告”或“诚信建设”栏目《烟台开发区在建项目产品质量评估总报告（2017年第1次）》。</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住房和建设管理局    建设业联合会</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2017年7月24日</w:t>
      </w:r>
    </w:p>
    <w:p>
      <w:pPr>
        <w:keepNext w:val="0"/>
        <w:keepLines w:val="0"/>
        <w:pageBreakBefore w:val="0"/>
        <w:kinsoku/>
        <w:wordWrap/>
        <w:overflowPunct/>
        <w:topLinePunct w:val="0"/>
        <w:autoSpaceDE/>
        <w:autoSpaceDN/>
        <w:bidi w:val="0"/>
        <w:adjustRightInd/>
        <w:snapToGrid/>
        <w:spacing w:line="600" w:lineRule="exact"/>
        <w:ind w:left="0" w:leftChars="0" w:right="0" w:rightChars="0"/>
      </w:pPr>
    </w:p>
    <w:p>
      <w:pPr>
        <w:keepNext w:val="0"/>
        <w:keepLines w:val="0"/>
        <w:pageBreakBefore w:val="0"/>
        <w:kinsoku/>
        <w:wordWrap/>
        <w:overflowPunct/>
        <w:topLinePunct w:val="0"/>
        <w:autoSpaceDE/>
        <w:autoSpaceDN/>
        <w:bidi w:val="0"/>
        <w:adjustRightInd/>
        <w:snapToGrid/>
        <w:spacing w:line="600" w:lineRule="exact"/>
        <w:ind w:left="0" w:leftChars="0" w:right="0" w:rightChars="0"/>
      </w:pPr>
    </w:p>
    <w:p>
      <w:pPr>
        <w:keepNext w:val="0"/>
        <w:keepLines w:val="0"/>
        <w:pageBreakBefore w:val="0"/>
        <w:kinsoku/>
        <w:wordWrap/>
        <w:overflowPunct/>
        <w:topLinePunct w:val="0"/>
        <w:autoSpaceDE/>
        <w:autoSpaceDN/>
        <w:bidi w:val="0"/>
        <w:adjustRightInd/>
        <w:snapToGrid/>
        <w:spacing w:line="600" w:lineRule="exact"/>
        <w:ind w:left="0" w:leftChars="0" w:right="0" w:rightChars="0"/>
      </w:pPr>
    </w:p>
    <w:p>
      <w:pPr>
        <w:keepNext w:val="0"/>
        <w:keepLines w:val="0"/>
        <w:pageBreakBefore w:val="0"/>
        <w:kinsoku/>
        <w:wordWrap/>
        <w:overflowPunct/>
        <w:topLinePunct w:val="0"/>
        <w:autoSpaceDE/>
        <w:autoSpaceDN/>
        <w:bidi w:val="0"/>
        <w:adjustRightInd/>
        <w:snapToGrid/>
        <w:spacing w:line="600" w:lineRule="exact"/>
        <w:ind w:left="0" w:leftChars="0" w:right="0" w:rightChars="0"/>
      </w:pPr>
    </w:p>
    <w:p>
      <w:pPr>
        <w:keepNext w:val="0"/>
        <w:keepLines w:val="0"/>
        <w:pageBreakBefore w:val="0"/>
        <w:kinsoku/>
        <w:wordWrap/>
        <w:overflowPunct/>
        <w:topLinePunct w:val="0"/>
        <w:autoSpaceDE/>
        <w:autoSpaceDN/>
        <w:bidi w:val="0"/>
        <w:adjustRightInd/>
        <w:snapToGrid/>
        <w:spacing w:line="600" w:lineRule="exact"/>
        <w:ind w:left="0" w:leftChars="0" w:right="0" w:rightChars="0"/>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43" w:usb2="00000009" w:usb3="00000000" w:csb0="400001FF" w:csb1="FFFF0000"/>
  </w:font>
  <w:font w:name="CG Times (W1)">
    <w:altName w:val="Times New Roman"/>
    <w:panose1 w:val="00000000000000000000"/>
    <w:charset w:val="00"/>
    <w:family w:val="roman"/>
    <w:pitch w:val="default"/>
    <w:sig w:usb0="00000000" w:usb1="00000000" w:usb2="00000000" w:usb3="00000000" w:csb0="00000001" w:csb1="00000000"/>
  </w:font>
  <w:font w:name="GKOEGF+Tahoma">
    <w:altName w:val="Tahoma"/>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G Times">
    <w:altName w:val="Times New Roman"/>
    <w:panose1 w:val="00000000000000000000"/>
    <w:charset w:val="00"/>
    <w:family w:val="roman"/>
    <w:pitch w:val="default"/>
    <w:sig w:usb0="00000000" w:usb1="00000000" w:usb2="00000000" w:usb3="00000000" w:csb0="00000001" w:csb1="00000000"/>
  </w:font>
  <w:font w:name="Gill Sans">
    <w:altName w:val="Segoe Print"/>
    <w:panose1 w:val="00000000000000000000"/>
    <w:charset w:val="00"/>
    <w:family w:val="swiss"/>
    <w:pitch w:val="default"/>
    <w:sig w:usb0="00000000" w:usb1="00000000" w:usb2="00000000" w:usb3="00000000" w:csb0="00000093" w:csb1="00000000"/>
  </w:font>
  <w:font w:name="Univers">
    <w:altName w:val="Arial"/>
    <w:panose1 w:val="00000000000000000000"/>
    <w:charset w:val="00"/>
    <w:family w:val="swiss"/>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C778F"/>
    <w:rsid w:val="00AB0657"/>
    <w:rsid w:val="04E01BDC"/>
    <w:rsid w:val="123B0649"/>
    <w:rsid w:val="196336DF"/>
    <w:rsid w:val="1E887E44"/>
    <w:rsid w:val="25DB7AB8"/>
    <w:rsid w:val="2E386281"/>
    <w:rsid w:val="2E4D61C6"/>
    <w:rsid w:val="2F262802"/>
    <w:rsid w:val="323C1428"/>
    <w:rsid w:val="4D7F72D8"/>
    <w:rsid w:val="4F1153A2"/>
    <w:rsid w:val="56A97D32"/>
    <w:rsid w:val="612C5782"/>
    <w:rsid w:val="6153210B"/>
    <w:rsid w:val="62602C64"/>
    <w:rsid w:val="69273A6F"/>
    <w:rsid w:val="69AF53CE"/>
    <w:rsid w:val="770E24C0"/>
    <w:rsid w:val="77FC778F"/>
    <w:rsid w:val="783259B4"/>
    <w:rsid w:val="78E349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2016-08-01T00:31:00Z</dcterms:created>
  <dc:creator>Administrator</dc:creator>
  <cp:lastModifiedBy>Administrator</cp:lastModifiedBy>
  <cp:lastPrinted>2017-07-25T02:13:00Z</cp:lastPrinted>
  <dcterms:modified xsi:type="dcterms:W3CDTF">2017-07-28T00:08:57Z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